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6C2" w:rsidRPr="006776C2" w:rsidRDefault="006776C2" w:rsidP="006776C2">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6776C2">
        <w:rPr>
          <w:rFonts w:ascii="微软雅黑" w:eastAsia="微软雅黑" w:hAnsi="微软雅黑" w:cs="宋体" w:hint="eastAsia"/>
          <w:b/>
          <w:bCs/>
          <w:color w:val="4B4B4B"/>
          <w:kern w:val="36"/>
          <w:sz w:val="30"/>
          <w:szCs w:val="30"/>
        </w:rPr>
        <w:t>教育部办公厅关于印发《中等职业学校</w:t>
      </w:r>
      <w:r w:rsidRPr="006776C2">
        <w:rPr>
          <w:rFonts w:ascii="微软雅黑" w:eastAsia="微软雅黑" w:hAnsi="微软雅黑" w:cs="宋体" w:hint="eastAsia"/>
          <w:b/>
          <w:bCs/>
          <w:color w:val="4B4B4B"/>
          <w:kern w:val="36"/>
          <w:sz w:val="30"/>
          <w:szCs w:val="30"/>
        </w:rPr>
        <w:br/>
        <w:t>公共基础课程方案》的通知</w:t>
      </w:r>
    </w:p>
    <w:p w:rsidR="006776C2" w:rsidRPr="006776C2" w:rsidRDefault="006776C2" w:rsidP="006776C2">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proofErr w:type="gramStart"/>
      <w:r w:rsidRPr="006776C2">
        <w:rPr>
          <w:rFonts w:ascii="微软雅黑" w:eastAsia="微软雅黑" w:hAnsi="微软雅黑" w:cs="宋体" w:hint="eastAsia"/>
          <w:color w:val="4B4B4B"/>
          <w:kern w:val="0"/>
          <w:sz w:val="24"/>
          <w:szCs w:val="24"/>
        </w:rPr>
        <w:t>教职成厅〔2019〕</w:t>
      </w:r>
      <w:proofErr w:type="gramEnd"/>
      <w:r w:rsidRPr="006776C2">
        <w:rPr>
          <w:rFonts w:ascii="微软雅黑" w:eastAsia="微软雅黑" w:hAnsi="微软雅黑" w:cs="宋体" w:hint="eastAsia"/>
          <w:color w:val="4B4B4B"/>
          <w:kern w:val="0"/>
          <w:sz w:val="24"/>
          <w:szCs w:val="24"/>
        </w:rPr>
        <w:t>6号</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各省、自治区、直辖市教育厅（教委），各计划单列市教育局，新疆生产建设兵团教育局：</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为贯彻全国教育大会精神，落实《国家职业教育改革实施方案》，深化中等职业学校公共基础课程改革，培养德智体美劳全面发展的高素质劳动者和技术技能人才，特制定《中等职业学校公共基础课程方案》，现印发给你们。各地要指导区域内中等职业学校认真贯彻实施，开齐开足开好公共基础课程，深化教师、教材、教法改革，不断提升人才培养质量。</w:t>
      </w:r>
    </w:p>
    <w:p w:rsidR="006776C2" w:rsidRPr="006776C2" w:rsidRDefault="006776C2" w:rsidP="006776C2">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教育部办公厅</w:t>
      </w:r>
    </w:p>
    <w:p w:rsidR="006776C2" w:rsidRPr="006776C2" w:rsidRDefault="006776C2" w:rsidP="006776C2">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2019年10月22日</w:t>
      </w:r>
    </w:p>
    <w:p w:rsidR="006776C2" w:rsidRDefault="006776C2" w:rsidP="006776C2">
      <w:pPr>
        <w:widowControl/>
        <w:shd w:val="clear" w:color="auto" w:fill="FFFFFF"/>
        <w:spacing w:before="100" w:beforeAutospacing="1" w:after="100" w:afterAutospacing="1" w:line="480" w:lineRule="atLeast"/>
        <w:jc w:val="center"/>
        <w:rPr>
          <w:rFonts w:ascii="微软雅黑" w:eastAsia="微软雅黑" w:hAnsi="微软雅黑" w:cs="宋体" w:hint="eastAsia"/>
          <w:b/>
          <w:bCs/>
          <w:color w:val="4B4B4B"/>
          <w:kern w:val="0"/>
          <w:sz w:val="24"/>
          <w:szCs w:val="24"/>
        </w:rPr>
      </w:pPr>
    </w:p>
    <w:p w:rsidR="006776C2" w:rsidRPr="006776C2" w:rsidRDefault="006776C2" w:rsidP="006776C2">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b/>
          <w:bCs/>
          <w:color w:val="4B4B4B"/>
          <w:kern w:val="0"/>
          <w:sz w:val="24"/>
          <w:szCs w:val="24"/>
        </w:rPr>
        <w:t>中等职业学校公共基础课程方案</w:t>
      </w:r>
    </w:p>
    <w:p w:rsidR="006776C2" w:rsidRPr="006776C2" w:rsidRDefault="006776C2" w:rsidP="009B3C21">
      <w:pPr>
        <w:widowControl/>
        <w:shd w:val="clear" w:color="auto" w:fill="FFFFFF"/>
        <w:adjustRightInd w:val="0"/>
        <w:snapToGrid w:val="0"/>
        <w:spacing w:before="100" w:beforeAutospacing="1" w:after="100" w:afterAutospacing="1" w:line="360" w:lineRule="auto"/>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公共基础课程是中等职业学校课程体系的重要组成部分，是培养学生思想政治素质、科学文化素养等的基本途径，对于促进学生可持续发展具有重要意义。为贯彻全国教育大会精神，落实《国家职业教育改革实施方案》，深化中等职业学校公共基础课程改革，培养德智体美劳全面发展的高素质劳动者和技术技能人才，特制定本方案。</w:t>
      </w:r>
    </w:p>
    <w:p w:rsidR="006776C2" w:rsidRPr="006776C2" w:rsidRDefault="006776C2" w:rsidP="009B3C21">
      <w:pPr>
        <w:widowControl/>
        <w:shd w:val="clear" w:color="auto" w:fill="FFFFFF"/>
        <w:adjustRightInd w:val="0"/>
        <w:snapToGrid w:val="0"/>
        <w:spacing w:before="100" w:beforeAutospacing="1" w:after="100" w:afterAutospacing="1" w:line="360" w:lineRule="auto"/>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lastRenderedPageBreak/>
        <w:t xml:space="preserve">　　一、适用范围</w:t>
      </w:r>
    </w:p>
    <w:p w:rsidR="009B3C21" w:rsidRDefault="006776C2" w:rsidP="009B3C21">
      <w:pPr>
        <w:widowControl/>
        <w:shd w:val="clear" w:color="auto" w:fill="FFFFFF"/>
        <w:adjustRightInd w:val="0"/>
        <w:snapToGrid w:val="0"/>
        <w:spacing w:before="100" w:beforeAutospacing="1" w:after="100" w:afterAutospacing="1" w:line="360" w:lineRule="auto"/>
        <w:ind w:firstLine="480"/>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本方案适用于中等职业学校三年制各专业的公共基础课程设置，其他学制参照执行。</w:t>
      </w:r>
    </w:p>
    <w:p w:rsidR="006776C2" w:rsidRPr="006776C2" w:rsidRDefault="006776C2" w:rsidP="009B3C21">
      <w:pPr>
        <w:widowControl/>
        <w:shd w:val="clear" w:color="auto" w:fill="FFFFFF"/>
        <w:adjustRightInd w:val="0"/>
        <w:snapToGrid w:val="0"/>
        <w:spacing w:before="100" w:beforeAutospacing="1" w:after="100" w:afterAutospacing="1" w:line="360" w:lineRule="auto"/>
        <w:ind w:firstLine="480"/>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二、课程设置</w:t>
      </w:r>
    </w:p>
    <w:p w:rsidR="009B3C21" w:rsidRDefault="006776C2" w:rsidP="009B3C21">
      <w:pPr>
        <w:widowControl/>
        <w:shd w:val="clear" w:color="auto" w:fill="FFFFFF"/>
        <w:adjustRightInd w:val="0"/>
        <w:snapToGrid w:val="0"/>
        <w:spacing w:before="100" w:beforeAutospacing="1" w:after="100" w:afterAutospacing="1" w:line="360" w:lineRule="auto"/>
        <w:ind w:firstLine="480"/>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（一）课程类别</w:t>
      </w:r>
    </w:p>
    <w:p w:rsidR="006776C2" w:rsidRPr="006776C2" w:rsidRDefault="006776C2" w:rsidP="009B3C21">
      <w:pPr>
        <w:widowControl/>
        <w:shd w:val="clear" w:color="auto" w:fill="FFFFFF"/>
        <w:adjustRightInd w:val="0"/>
        <w:snapToGrid w:val="0"/>
        <w:spacing w:before="100" w:beforeAutospacing="1" w:after="100" w:afterAutospacing="1" w:line="360" w:lineRule="auto"/>
        <w:ind w:firstLine="480"/>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中等职业学校公共基础课程分为必修课程、限定选修课程和任意选修课程。</w:t>
      </w:r>
    </w:p>
    <w:p w:rsidR="006776C2" w:rsidRPr="006776C2" w:rsidRDefault="006776C2" w:rsidP="009B3C21">
      <w:pPr>
        <w:widowControl/>
        <w:shd w:val="clear" w:color="auto" w:fill="FFFFFF"/>
        <w:adjustRightInd w:val="0"/>
        <w:snapToGrid w:val="0"/>
        <w:spacing w:before="100" w:beforeAutospacing="1" w:after="100" w:afterAutospacing="1" w:line="360" w:lineRule="auto"/>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必修课程，由国家根据学生全面发展的需要设置，所有学生必须全部修习。包括思想政治、语文、历史、数学、外语、信息技术、体育与健康、艺术，物理、化学为相关专业的必修课程。</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限定选修课程，由国家根据学生职业发展的需要安排内容，各学校根据专业人才培养需要选择具体课程、安排教学，所有学生必须修满规定学分。包括中华优秀传统文化、劳动教育、职业素养等相关课程。</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任意选修课程包括两部分，一部分由国家根据学生继续学习和个性化发展的需要安排内容，另一部分由各学校根据自身办学条件、办学特色、学生多样化需求以及当地经济社会发展的需要设置。包括各种校本课程等。</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（二）学时</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lastRenderedPageBreak/>
        <w:t xml:space="preserve">　　中等职业学校公共基础课程的学时一般占总学时的1/3，不低于1000学时。原则上每学时按45分钟计，18学时为1学分。各学校可根据专业人才培养需要在规定的范围内适当调整，但须保证学生修满规定学分。</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（三）课程结构与学分</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公共基础课程内容一般由基础模块、职业模块和拓展模块构成。它们既相对独立，又相互关联。基础模块是各专业学生必修的基础性内容。职业模块是提高学生职业素养的限定性选修内容。拓展模块是满足学生继续学习与个性发展等方面需要的限定性或任意选修内容。各专业学生须修完必修内容和限定性选修内容，修满规定学分。</w:t>
      </w:r>
    </w:p>
    <w:p w:rsidR="006776C2" w:rsidRPr="006776C2" w:rsidRDefault="006776C2" w:rsidP="009B3C2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各地与各学校可根据专业人才培养方案，结合地方资源、学校特色、教师特长以及学生实际等，自主开发拓展模块中的任意选修内容。其教学时间根据实际需要设定，一般为18学时的倍数。有关必修课程、限定选修课程设置及学分（模块）安排如下：</w:t>
      </w:r>
      <w:bookmarkStart w:id="0" w:name="_GoBack"/>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1707"/>
        <w:gridCol w:w="2858"/>
        <w:gridCol w:w="2011"/>
      </w:tblGrid>
      <w:tr w:rsidR="006776C2" w:rsidRPr="006776C2" w:rsidTr="006776C2">
        <w:trPr>
          <w:trHeight w:val="617"/>
          <w:jc w:val="center"/>
        </w:trPr>
        <w:tc>
          <w:tcPr>
            <w:tcW w:w="114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黑体" w:eastAsia="黑体" w:hAnsi="黑体" w:cs="宋体" w:hint="eastAsia"/>
                <w:color w:val="4B4B4B"/>
                <w:kern w:val="0"/>
                <w:szCs w:val="21"/>
              </w:rPr>
              <w:t>课程名称</w:t>
            </w:r>
          </w:p>
        </w:tc>
        <w:tc>
          <w:tcPr>
            <w:tcW w:w="100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黑体" w:eastAsia="黑体" w:hAnsi="黑体" w:cs="宋体" w:hint="eastAsia"/>
                <w:color w:val="4B4B4B"/>
                <w:kern w:val="0"/>
                <w:szCs w:val="21"/>
              </w:rPr>
              <w:t>必修学分</w:t>
            </w:r>
          </w:p>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黑体" w:eastAsia="黑体" w:hAnsi="黑体" w:cs="宋体" w:hint="eastAsia"/>
                <w:color w:val="4B4B4B"/>
                <w:kern w:val="0"/>
                <w:szCs w:val="21"/>
              </w:rPr>
              <w:t>（基础模块）</w:t>
            </w:r>
          </w:p>
        </w:tc>
        <w:tc>
          <w:tcPr>
            <w:tcW w:w="1677"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黑体" w:eastAsia="黑体" w:hAnsi="黑体" w:cs="宋体" w:hint="eastAsia"/>
                <w:color w:val="4B4B4B"/>
                <w:kern w:val="0"/>
                <w:szCs w:val="21"/>
              </w:rPr>
              <w:t>限定选修学分</w:t>
            </w:r>
          </w:p>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黑体" w:eastAsia="黑体" w:hAnsi="黑体" w:cs="宋体" w:hint="eastAsia"/>
                <w:color w:val="4B4B4B"/>
                <w:kern w:val="0"/>
                <w:szCs w:val="21"/>
              </w:rPr>
              <w:t>（职业模块或拓展模块）</w:t>
            </w:r>
          </w:p>
        </w:tc>
        <w:tc>
          <w:tcPr>
            <w:tcW w:w="1180"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黑体" w:eastAsia="黑体" w:hAnsi="黑体" w:cs="宋体" w:hint="eastAsia"/>
                <w:color w:val="4B4B4B"/>
                <w:kern w:val="0"/>
                <w:szCs w:val="21"/>
              </w:rPr>
              <w:t>任意选修学分</w:t>
            </w:r>
          </w:p>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黑体" w:eastAsia="黑体" w:hAnsi="黑体" w:cs="宋体" w:hint="eastAsia"/>
                <w:color w:val="4B4B4B"/>
                <w:kern w:val="0"/>
                <w:szCs w:val="21"/>
              </w:rPr>
              <w:t>（拓展模块）</w:t>
            </w:r>
          </w:p>
        </w:tc>
      </w:tr>
      <w:tr w:rsidR="006776C2" w:rsidRPr="006776C2" w:rsidTr="006776C2">
        <w:trPr>
          <w:jc w:val="center"/>
        </w:trPr>
        <w:tc>
          <w:tcPr>
            <w:tcW w:w="114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方正仿宋简体" w:eastAsia="方正仿宋简体" w:hAnsi="微软雅黑" w:cs="宋体" w:hint="eastAsia"/>
                <w:color w:val="4B4B4B"/>
                <w:kern w:val="0"/>
                <w:szCs w:val="21"/>
              </w:rPr>
              <w:t>思想政治</w:t>
            </w:r>
          </w:p>
        </w:tc>
        <w:tc>
          <w:tcPr>
            <w:tcW w:w="100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8</w:t>
            </w:r>
          </w:p>
        </w:tc>
        <w:tc>
          <w:tcPr>
            <w:tcW w:w="1677"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 </w:t>
            </w:r>
          </w:p>
        </w:tc>
        <w:tc>
          <w:tcPr>
            <w:tcW w:w="1180"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2</w:t>
            </w:r>
          </w:p>
        </w:tc>
      </w:tr>
      <w:tr w:rsidR="006776C2" w:rsidRPr="006776C2" w:rsidTr="006776C2">
        <w:trPr>
          <w:jc w:val="center"/>
        </w:trPr>
        <w:tc>
          <w:tcPr>
            <w:tcW w:w="114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方正仿宋简体" w:eastAsia="方正仿宋简体" w:hAnsi="微软雅黑" w:cs="宋体" w:hint="eastAsia"/>
                <w:color w:val="4B4B4B"/>
                <w:kern w:val="0"/>
                <w:szCs w:val="21"/>
              </w:rPr>
              <w:t>语文</w:t>
            </w:r>
          </w:p>
        </w:tc>
        <w:tc>
          <w:tcPr>
            <w:tcW w:w="100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8</w:t>
            </w:r>
          </w:p>
        </w:tc>
        <w:tc>
          <w:tcPr>
            <w:tcW w:w="1677"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3</w:t>
            </w:r>
          </w:p>
        </w:tc>
        <w:tc>
          <w:tcPr>
            <w:tcW w:w="1180"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 </w:t>
            </w:r>
          </w:p>
        </w:tc>
      </w:tr>
      <w:tr w:rsidR="006776C2" w:rsidRPr="006776C2" w:rsidTr="006776C2">
        <w:trPr>
          <w:jc w:val="center"/>
        </w:trPr>
        <w:tc>
          <w:tcPr>
            <w:tcW w:w="114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方正仿宋简体" w:eastAsia="方正仿宋简体" w:hAnsi="微软雅黑" w:cs="宋体" w:hint="eastAsia"/>
                <w:color w:val="4B4B4B"/>
                <w:kern w:val="0"/>
                <w:szCs w:val="21"/>
              </w:rPr>
              <w:t>历史</w:t>
            </w:r>
          </w:p>
        </w:tc>
        <w:tc>
          <w:tcPr>
            <w:tcW w:w="100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4</w:t>
            </w:r>
          </w:p>
        </w:tc>
        <w:tc>
          <w:tcPr>
            <w:tcW w:w="1677"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 </w:t>
            </w:r>
          </w:p>
        </w:tc>
        <w:tc>
          <w:tcPr>
            <w:tcW w:w="1180"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1</w:t>
            </w:r>
          </w:p>
        </w:tc>
      </w:tr>
      <w:tr w:rsidR="006776C2" w:rsidRPr="006776C2" w:rsidTr="006776C2">
        <w:trPr>
          <w:jc w:val="center"/>
        </w:trPr>
        <w:tc>
          <w:tcPr>
            <w:tcW w:w="114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方正仿宋简体" w:eastAsia="方正仿宋简体" w:hAnsi="微软雅黑" w:cs="宋体" w:hint="eastAsia"/>
                <w:color w:val="4B4B4B"/>
                <w:kern w:val="0"/>
                <w:szCs w:val="21"/>
              </w:rPr>
              <w:t>数学</w:t>
            </w:r>
          </w:p>
        </w:tc>
        <w:tc>
          <w:tcPr>
            <w:tcW w:w="100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6</w:t>
            </w:r>
          </w:p>
        </w:tc>
        <w:tc>
          <w:tcPr>
            <w:tcW w:w="1677"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2</w:t>
            </w:r>
          </w:p>
        </w:tc>
        <w:tc>
          <w:tcPr>
            <w:tcW w:w="1180"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 </w:t>
            </w:r>
          </w:p>
        </w:tc>
      </w:tr>
      <w:tr w:rsidR="006776C2" w:rsidRPr="006776C2" w:rsidTr="006776C2">
        <w:trPr>
          <w:jc w:val="center"/>
        </w:trPr>
        <w:tc>
          <w:tcPr>
            <w:tcW w:w="114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方正仿宋简体" w:eastAsia="方正仿宋简体" w:hAnsi="微软雅黑" w:cs="宋体" w:hint="eastAsia"/>
                <w:color w:val="4B4B4B"/>
                <w:kern w:val="0"/>
                <w:szCs w:val="21"/>
              </w:rPr>
              <w:lastRenderedPageBreak/>
              <w:t>外语</w:t>
            </w:r>
          </w:p>
        </w:tc>
        <w:tc>
          <w:tcPr>
            <w:tcW w:w="100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6</w:t>
            </w:r>
          </w:p>
        </w:tc>
        <w:tc>
          <w:tcPr>
            <w:tcW w:w="1677"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2</w:t>
            </w:r>
          </w:p>
        </w:tc>
        <w:tc>
          <w:tcPr>
            <w:tcW w:w="1180"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 </w:t>
            </w:r>
          </w:p>
        </w:tc>
      </w:tr>
      <w:tr w:rsidR="006776C2" w:rsidRPr="006776C2" w:rsidTr="006776C2">
        <w:trPr>
          <w:jc w:val="center"/>
        </w:trPr>
        <w:tc>
          <w:tcPr>
            <w:tcW w:w="114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方正仿宋简体" w:eastAsia="方正仿宋简体" w:hAnsi="微软雅黑" w:cs="宋体" w:hint="eastAsia"/>
                <w:color w:val="4B4B4B"/>
                <w:kern w:val="0"/>
                <w:szCs w:val="21"/>
              </w:rPr>
              <w:t>信息技术</w:t>
            </w:r>
          </w:p>
        </w:tc>
        <w:tc>
          <w:tcPr>
            <w:tcW w:w="100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6</w:t>
            </w:r>
          </w:p>
        </w:tc>
        <w:tc>
          <w:tcPr>
            <w:tcW w:w="1677"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 </w:t>
            </w:r>
          </w:p>
        </w:tc>
        <w:tc>
          <w:tcPr>
            <w:tcW w:w="1180"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2</w:t>
            </w:r>
          </w:p>
        </w:tc>
      </w:tr>
      <w:tr w:rsidR="006776C2" w:rsidRPr="006776C2" w:rsidTr="006776C2">
        <w:trPr>
          <w:jc w:val="center"/>
        </w:trPr>
        <w:tc>
          <w:tcPr>
            <w:tcW w:w="114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方正仿宋简体" w:eastAsia="方正仿宋简体" w:hAnsi="微软雅黑" w:cs="宋体" w:hint="eastAsia"/>
                <w:color w:val="4B4B4B"/>
                <w:kern w:val="0"/>
                <w:szCs w:val="21"/>
              </w:rPr>
              <w:t>体育与健康</w:t>
            </w:r>
          </w:p>
        </w:tc>
        <w:tc>
          <w:tcPr>
            <w:tcW w:w="100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3</w:t>
            </w:r>
          </w:p>
        </w:tc>
        <w:tc>
          <w:tcPr>
            <w:tcW w:w="1677"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5</w:t>
            </w:r>
          </w:p>
        </w:tc>
        <w:tc>
          <w:tcPr>
            <w:tcW w:w="1180"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4</w:t>
            </w:r>
          </w:p>
        </w:tc>
      </w:tr>
      <w:tr w:rsidR="006776C2" w:rsidRPr="006776C2" w:rsidTr="006776C2">
        <w:trPr>
          <w:jc w:val="center"/>
        </w:trPr>
        <w:tc>
          <w:tcPr>
            <w:tcW w:w="114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方正仿宋简体" w:eastAsia="方正仿宋简体" w:hAnsi="微软雅黑" w:cs="宋体" w:hint="eastAsia"/>
                <w:color w:val="4B4B4B"/>
                <w:kern w:val="0"/>
                <w:szCs w:val="21"/>
              </w:rPr>
              <w:t>艺术</w:t>
            </w:r>
          </w:p>
        </w:tc>
        <w:tc>
          <w:tcPr>
            <w:tcW w:w="100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2</w:t>
            </w:r>
          </w:p>
        </w:tc>
        <w:tc>
          <w:tcPr>
            <w:tcW w:w="1677"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 </w:t>
            </w:r>
          </w:p>
        </w:tc>
        <w:tc>
          <w:tcPr>
            <w:tcW w:w="1180"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2</w:t>
            </w:r>
          </w:p>
        </w:tc>
      </w:tr>
      <w:tr w:rsidR="006776C2" w:rsidRPr="006776C2" w:rsidTr="006776C2">
        <w:trPr>
          <w:jc w:val="center"/>
        </w:trPr>
        <w:tc>
          <w:tcPr>
            <w:tcW w:w="114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方正仿宋简体" w:eastAsia="方正仿宋简体" w:hAnsi="微软雅黑" w:cs="宋体" w:hint="eastAsia"/>
                <w:color w:val="4B4B4B"/>
                <w:kern w:val="0"/>
                <w:szCs w:val="21"/>
              </w:rPr>
              <w:t>物理</w:t>
            </w:r>
          </w:p>
        </w:tc>
        <w:tc>
          <w:tcPr>
            <w:tcW w:w="100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2.5</w:t>
            </w:r>
          </w:p>
        </w:tc>
        <w:tc>
          <w:tcPr>
            <w:tcW w:w="1677"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 </w:t>
            </w:r>
          </w:p>
        </w:tc>
        <w:tc>
          <w:tcPr>
            <w:tcW w:w="1180"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0.5~2</w:t>
            </w:r>
          </w:p>
        </w:tc>
      </w:tr>
      <w:tr w:rsidR="006776C2" w:rsidRPr="006776C2" w:rsidTr="006776C2">
        <w:trPr>
          <w:jc w:val="center"/>
        </w:trPr>
        <w:tc>
          <w:tcPr>
            <w:tcW w:w="114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方正仿宋简体" w:eastAsia="方正仿宋简体" w:hAnsi="微软雅黑" w:cs="宋体" w:hint="eastAsia"/>
                <w:color w:val="4B4B4B"/>
                <w:kern w:val="0"/>
                <w:szCs w:val="21"/>
              </w:rPr>
              <w:t>化学</w:t>
            </w:r>
          </w:p>
        </w:tc>
        <w:tc>
          <w:tcPr>
            <w:tcW w:w="100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2.5</w:t>
            </w:r>
          </w:p>
        </w:tc>
        <w:tc>
          <w:tcPr>
            <w:tcW w:w="1677"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 </w:t>
            </w:r>
          </w:p>
        </w:tc>
        <w:tc>
          <w:tcPr>
            <w:tcW w:w="1180"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0.5~2</w:t>
            </w:r>
          </w:p>
        </w:tc>
      </w:tr>
      <w:tr w:rsidR="006776C2" w:rsidRPr="006776C2" w:rsidTr="006776C2">
        <w:trPr>
          <w:jc w:val="center"/>
        </w:trPr>
        <w:tc>
          <w:tcPr>
            <w:tcW w:w="114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方正仿宋简体" w:eastAsia="方正仿宋简体" w:hAnsi="微软雅黑" w:cs="宋体" w:hint="eastAsia"/>
                <w:color w:val="4B4B4B"/>
                <w:kern w:val="0"/>
                <w:szCs w:val="21"/>
              </w:rPr>
              <w:t>其他</w:t>
            </w:r>
          </w:p>
        </w:tc>
        <w:tc>
          <w:tcPr>
            <w:tcW w:w="100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 </w:t>
            </w:r>
          </w:p>
        </w:tc>
        <w:tc>
          <w:tcPr>
            <w:tcW w:w="1677"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3</w:t>
            </w:r>
          </w:p>
        </w:tc>
        <w:tc>
          <w:tcPr>
            <w:tcW w:w="1180"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 </w:t>
            </w:r>
          </w:p>
        </w:tc>
      </w:tr>
      <w:tr w:rsidR="006776C2" w:rsidRPr="006776C2" w:rsidTr="006776C2">
        <w:trPr>
          <w:trHeight w:val="444"/>
          <w:jc w:val="center"/>
        </w:trPr>
        <w:tc>
          <w:tcPr>
            <w:tcW w:w="114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方正仿宋简体" w:eastAsia="方正仿宋简体" w:hAnsi="微软雅黑" w:cs="宋体" w:hint="eastAsia"/>
                <w:color w:val="4B4B4B"/>
                <w:kern w:val="0"/>
                <w:szCs w:val="21"/>
              </w:rPr>
              <w:t>合计</w:t>
            </w:r>
          </w:p>
        </w:tc>
        <w:tc>
          <w:tcPr>
            <w:tcW w:w="1001"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48</w:t>
            </w:r>
          </w:p>
        </w:tc>
        <w:tc>
          <w:tcPr>
            <w:tcW w:w="1677"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15</w:t>
            </w:r>
          </w:p>
        </w:tc>
        <w:tc>
          <w:tcPr>
            <w:tcW w:w="1180" w:type="pct"/>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6776C2" w:rsidRPr="006776C2" w:rsidRDefault="006776C2" w:rsidP="006776C2">
            <w:pPr>
              <w:widowControl/>
              <w:overflowPunct w:val="0"/>
              <w:spacing w:before="100" w:beforeAutospacing="1" w:after="100" w:afterAutospacing="1" w:line="480" w:lineRule="atLeast"/>
              <w:jc w:val="center"/>
              <w:rPr>
                <w:rFonts w:ascii="微软雅黑" w:eastAsia="微软雅黑" w:hAnsi="微软雅黑" w:cs="宋体"/>
                <w:color w:val="4B4B4B"/>
                <w:kern w:val="0"/>
                <w:sz w:val="24"/>
                <w:szCs w:val="24"/>
              </w:rPr>
            </w:pPr>
            <w:r w:rsidRPr="006776C2">
              <w:rPr>
                <w:rFonts w:ascii="微软雅黑" w:eastAsia="方正仿宋简体" w:hAnsi="微软雅黑" w:cs="宋体" w:hint="eastAsia"/>
                <w:color w:val="4B4B4B"/>
                <w:kern w:val="0"/>
                <w:szCs w:val="21"/>
              </w:rPr>
              <w:t> </w:t>
            </w:r>
          </w:p>
        </w:tc>
      </w:tr>
    </w:tbl>
    <w:p w:rsidR="006776C2" w:rsidRPr="006776C2" w:rsidRDefault="006776C2" w:rsidP="006776C2">
      <w:pPr>
        <w:widowControl/>
        <w:shd w:val="clear" w:color="auto" w:fill="FFFFFF"/>
        <w:jc w:val="center"/>
        <w:rPr>
          <w:rFonts w:ascii="微软雅黑" w:eastAsia="微软雅黑" w:hAnsi="微软雅黑" w:cs="宋体"/>
          <w:vanish/>
          <w:kern w:val="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776C2" w:rsidRPr="006776C2" w:rsidTr="006776C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776C2" w:rsidRPr="006776C2" w:rsidRDefault="006776C2" w:rsidP="006776C2">
            <w:pPr>
              <w:widowControl/>
              <w:jc w:val="left"/>
              <w:rPr>
                <w:rFonts w:ascii="微软雅黑" w:eastAsia="微软雅黑" w:hAnsi="微软雅黑" w:cs="宋体"/>
                <w:kern w:val="0"/>
                <w:sz w:val="24"/>
                <w:szCs w:val="24"/>
              </w:rPr>
            </w:pPr>
          </w:p>
        </w:tc>
      </w:tr>
    </w:tbl>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其中，外语包括英语、日语、俄语、德语、法语、西班牙语等，学校自主选择第一外语语种，鼓励学校创造条件开设第二外语。体育与健康的必修内容和限定性选修内容，须在校期间持续开设。物理是机械建筑类、电工电子类、化工农</w:t>
      </w:r>
      <w:proofErr w:type="gramStart"/>
      <w:r w:rsidRPr="006776C2">
        <w:rPr>
          <w:rFonts w:ascii="微软雅黑" w:eastAsia="微软雅黑" w:hAnsi="微软雅黑" w:cs="宋体" w:hint="eastAsia"/>
          <w:color w:val="4B4B4B"/>
          <w:kern w:val="0"/>
          <w:sz w:val="24"/>
          <w:szCs w:val="24"/>
        </w:rPr>
        <w:t>医</w:t>
      </w:r>
      <w:proofErr w:type="gramEnd"/>
      <w:r w:rsidRPr="006776C2">
        <w:rPr>
          <w:rFonts w:ascii="微软雅黑" w:eastAsia="微软雅黑" w:hAnsi="微软雅黑" w:cs="宋体" w:hint="eastAsia"/>
          <w:color w:val="4B4B4B"/>
          <w:kern w:val="0"/>
          <w:sz w:val="24"/>
          <w:szCs w:val="24"/>
        </w:rPr>
        <w:t>类等相关专业的必修课程。化学是医药卫生类、农林牧渔类、加工制造类等相关专业的必修课程。“其他”为限定选修课程，可为职业模块，也可为拓展模块。语文、数学、外语的限定选修学分为职业模块内容，体育与健康的限定选修学分为拓展模块内容。</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w:t>
      </w:r>
      <w:r w:rsidRPr="006776C2">
        <w:rPr>
          <w:rFonts w:ascii="微软雅黑" w:eastAsia="微软雅黑" w:hAnsi="微软雅黑" w:cs="宋体" w:hint="eastAsia"/>
          <w:b/>
          <w:bCs/>
          <w:color w:val="4B4B4B"/>
          <w:kern w:val="0"/>
          <w:sz w:val="24"/>
          <w:szCs w:val="24"/>
        </w:rPr>
        <w:t>三、课程内容确定的原则</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（一）突出思想性</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lastRenderedPageBreak/>
        <w:t xml:space="preserve">　　坚持立德树人，充分反映习近平新时代中国特色社会主义思想，全面落实社会主义核心价值观的基本内容和要求，有机融入中华优秀传统文化、革命文化、社会主义先进文化、法治意识、国家安全、历史使命、社会责任、民族团结、生态文明、健康意识、审美观念等教育，促进全员育人、全程育人、全方位育人。</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（二）注重基础性</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遵循学生身心发展规律，依据学生发展核心素养，结合学生学业基础，精选适应学生终身学习和职业生涯发展需要的基本知识和基本技能，进一步打好学生文化基础，培养学生综合素质，夯实学生个性化发展的共同基础。</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（三）体现职业性</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加强公共基础课程与专业课程的融通、衔接和配合，强化课程内容与社会生活、职业生活的联系，突出实践育人。选择与职业生涯密切相关的教学内容，有机融入职业道德、劳动精神、劳模精神和工匠精神教育，培育学生职业精神，提高职业素养。适应学生不同的职业发展需求，分类分层设计课程内容。</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（四）反映时代性</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充分吸收马克思主义中国化最新成果，借鉴国内外课程改革的成功经验，优化课程结构，及时更新课程内容，体现先进的教育思想和教育理念，反映当代社会进步、科技发展、学科发展前沿和行业企业新技术、新工艺、新规范。</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w:t>
      </w:r>
      <w:r w:rsidRPr="006776C2">
        <w:rPr>
          <w:rFonts w:ascii="微软雅黑" w:eastAsia="微软雅黑" w:hAnsi="微软雅黑" w:cs="宋体" w:hint="eastAsia"/>
          <w:b/>
          <w:bCs/>
          <w:color w:val="4B4B4B"/>
          <w:kern w:val="0"/>
          <w:sz w:val="24"/>
          <w:szCs w:val="24"/>
        </w:rPr>
        <w:t>四、课程实施与评价</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lastRenderedPageBreak/>
        <w:t xml:space="preserve">　　（一）科学编制课程标准与教材</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课程标准研制应遵循本课程方案的总体要求，明确课程的育人价值，确定课程核心素养和课程目标，明确课程内容和学业质量标准，以指导教材编写、课程教学、考核评价与资源建设。</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教材编写要以课程标准为依据，围绕课程核心素养，充分考虑学生的兴趣和需求，精选教学内容，创新组织方式，丰富载体形式。教材编写应有利于学校组织安排教学，有利于促进教学方式方法改革。</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（二）合理实施课程教学</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学校在教育行政部门的指导下，依据本方案和课程标准，统筹专业教学标准、专业人才培养方案的贯彻执行，结合培养目标、办学条件、学生特点和职业发展需要，自主安排课程内容，合理实施教学，开齐国家规定的公共基础课程，开足规定学时。加强课堂教学管理，规范教学秩序，打造优质课堂。教师要准确把握课程教学要求，做好课程教学设计，规范编写、严格执行教案，合理运用各类教学资源，推动教学方式方法改革。</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（三）充分开发与利用课程资源</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鼓励学校自主开发或与其他学校、教科研机构、合作企业等联合开发纸质资源、数字化资源和地域特色资源等公共基础课程资源，促进资源共建共享。资源建设注重教与学并重，推动现代信息技术与教育教学的有机融合，助力教师组织</w:t>
      </w:r>
      <w:r w:rsidRPr="006776C2">
        <w:rPr>
          <w:rFonts w:ascii="微软雅黑" w:eastAsia="微软雅黑" w:hAnsi="微软雅黑" w:cs="宋体" w:hint="eastAsia"/>
          <w:color w:val="4B4B4B"/>
          <w:kern w:val="0"/>
          <w:sz w:val="24"/>
          <w:szCs w:val="24"/>
        </w:rPr>
        <w:lastRenderedPageBreak/>
        <w:t>实施教学，支持学生开展自主学习、协作学习和探究学习等多样化的学习方式，提升教学效果。</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（四）努力完善课程考核评价机制</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公共基础课程考核评价应以本课程方案、课程标准为基本依据。对接学业质量要求，重点考核学生运用知识分析与解决实际问题的能力，促进学生核心素养的发展。丰富评价形式，实行教师评价与学生评价相结合、过程性评价与终结性评价相结合等多元评价方式。</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省级教育行政部门可依据本方案建立公共基础课程教学质量监测体系，实施学业水平考试，提高中等职业学校公共基础课程管理水平和教学质量。</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w:t>
      </w:r>
      <w:r w:rsidRPr="006776C2">
        <w:rPr>
          <w:rFonts w:ascii="微软雅黑" w:eastAsia="微软雅黑" w:hAnsi="微软雅黑" w:cs="宋体" w:hint="eastAsia"/>
          <w:b/>
          <w:bCs/>
          <w:color w:val="4B4B4B"/>
          <w:kern w:val="0"/>
          <w:sz w:val="24"/>
          <w:szCs w:val="24"/>
        </w:rPr>
        <w:t>五、条件保障</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（一）加强教师队伍建设</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根据课程实施需要，配足配齐公共基础课程专任教师。支持学校聘用具有专业特长的兼职教师。</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加强师德师风建设，坚定教师理想信念，提升教师品德修养。完善中等职业学校教师进修和继续教育制度，鼓励和支持教师参加国</w:t>
      </w:r>
      <w:proofErr w:type="gramStart"/>
      <w:r w:rsidRPr="006776C2">
        <w:rPr>
          <w:rFonts w:ascii="微软雅黑" w:eastAsia="微软雅黑" w:hAnsi="微软雅黑" w:cs="宋体" w:hint="eastAsia"/>
          <w:color w:val="4B4B4B"/>
          <w:kern w:val="0"/>
          <w:sz w:val="24"/>
          <w:szCs w:val="24"/>
        </w:rPr>
        <w:t>培</w:t>
      </w:r>
      <w:proofErr w:type="gramEnd"/>
      <w:r w:rsidRPr="006776C2">
        <w:rPr>
          <w:rFonts w:ascii="微软雅黑" w:eastAsia="微软雅黑" w:hAnsi="微软雅黑" w:cs="宋体" w:hint="eastAsia"/>
          <w:color w:val="4B4B4B"/>
          <w:kern w:val="0"/>
          <w:sz w:val="24"/>
          <w:szCs w:val="24"/>
        </w:rPr>
        <w:t>计划、省</w:t>
      </w:r>
      <w:proofErr w:type="gramStart"/>
      <w:r w:rsidRPr="006776C2">
        <w:rPr>
          <w:rFonts w:ascii="微软雅黑" w:eastAsia="微软雅黑" w:hAnsi="微软雅黑" w:cs="宋体" w:hint="eastAsia"/>
          <w:color w:val="4B4B4B"/>
          <w:kern w:val="0"/>
          <w:sz w:val="24"/>
          <w:szCs w:val="24"/>
        </w:rPr>
        <w:t>培计划</w:t>
      </w:r>
      <w:proofErr w:type="gramEnd"/>
      <w:r w:rsidRPr="006776C2">
        <w:rPr>
          <w:rFonts w:ascii="微软雅黑" w:eastAsia="微软雅黑" w:hAnsi="微软雅黑" w:cs="宋体" w:hint="eastAsia"/>
          <w:color w:val="4B4B4B"/>
          <w:kern w:val="0"/>
          <w:sz w:val="24"/>
          <w:szCs w:val="24"/>
        </w:rPr>
        <w:t>等各级各类培训，提高教学能力，推动教师角色的转变和教育理念、教学观念、教学方法以及教学评价等方面的改革。改进教师工作量核定办法，健全教师奖惩机制，充分调动教师的积极性和创造性。</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lastRenderedPageBreak/>
        <w:t xml:space="preserve">　　（二）加强教学设施建设</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根据课程实施需要，进一步完善中等职业学校基础设施、图书资料、教学设备建设标准，改善教学环境与教学条件。配齐语音室、计算机室、多媒体教室、理化实验室、画室等专用教室与体育场馆，提供足够的图书及音视频资料、设施设备、实验器材及耗材等，保障外语、信息技术、体育与健康、艺术等公共基础课程的开设。建设智能化教学支持环境，创新服务供给模式，服务学生终身学习。</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（三）完善课程实施管理</w:t>
      </w:r>
    </w:p>
    <w:p w:rsidR="006776C2" w:rsidRPr="006776C2" w:rsidRDefault="006776C2" w:rsidP="006776C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776C2">
        <w:rPr>
          <w:rFonts w:ascii="微软雅黑" w:eastAsia="微软雅黑" w:hAnsi="微软雅黑" w:cs="宋体" w:hint="eastAsia"/>
          <w:color w:val="4B4B4B"/>
          <w:kern w:val="0"/>
          <w:sz w:val="24"/>
          <w:szCs w:val="24"/>
        </w:rPr>
        <w:t xml:space="preserve">　　省级教育行政部门负责本地区中等职业学校公共基础课程设置与课程标准实施的统筹规划与管理督查。地市级教育行政部门负责中等职业学校公共基础课程建设的检查监督，把课程开设与实施情况作为考核学校工作的重要内容。学校要进一步健全公共基础课程管理制度，全面落实本方案和课程标准，保证开齐开足公共基础课程。职业教育教研机构要加强课程实施的培训和指导。</w:t>
      </w:r>
    </w:p>
    <w:p w:rsidR="00294E71" w:rsidRPr="006776C2" w:rsidRDefault="00294E71"/>
    <w:sectPr w:rsidR="00294E71" w:rsidRPr="006776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6C2"/>
    <w:rsid w:val="00294E71"/>
    <w:rsid w:val="006776C2"/>
    <w:rsid w:val="009B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478494">
      <w:bodyDiv w:val="1"/>
      <w:marLeft w:val="0"/>
      <w:marRight w:val="0"/>
      <w:marTop w:val="0"/>
      <w:marBottom w:val="0"/>
      <w:divBdr>
        <w:top w:val="none" w:sz="0" w:space="0" w:color="auto"/>
        <w:left w:val="none" w:sz="0" w:space="0" w:color="auto"/>
        <w:bottom w:val="none" w:sz="0" w:space="0" w:color="auto"/>
        <w:right w:val="none" w:sz="0" w:space="0" w:color="auto"/>
      </w:divBdr>
      <w:divsChild>
        <w:div w:id="727846260">
          <w:marLeft w:val="0"/>
          <w:marRight w:val="0"/>
          <w:marTop w:val="0"/>
          <w:marBottom w:val="0"/>
          <w:divBdr>
            <w:top w:val="none" w:sz="0" w:space="0" w:color="auto"/>
            <w:left w:val="none" w:sz="0" w:space="0" w:color="auto"/>
            <w:bottom w:val="none" w:sz="0" w:space="0" w:color="auto"/>
            <w:right w:val="none" w:sz="0" w:space="0" w:color="auto"/>
          </w:divBdr>
          <w:divsChild>
            <w:div w:id="1120077148">
              <w:marLeft w:val="0"/>
              <w:marRight w:val="0"/>
              <w:marTop w:val="0"/>
              <w:marBottom w:val="0"/>
              <w:divBdr>
                <w:top w:val="none" w:sz="0" w:space="0" w:color="auto"/>
                <w:left w:val="none" w:sz="0" w:space="0" w:color="auto"/>
                <w:bottom w:val="none" w:sz="0" w:space="0" w:color="auto"/>
                <w:right w:val="none" w:sz="0" w:space="0" w:color="auto"/>
              </w:divBdr>
              <w:divsChild>
                <w:div w:id="882249721">
                  <w:marLeft w:val="0"/>
                  <w:marRight w:val="0"/>
                  <w:marTop w:val="0"/>
                  <w:marBottom w:val="0"/>
                  <w:divBdr>
                    <w:top w:val="single" w:sz="6" w:space="31" w:color="BCBCBC"/>
                    <w:left w:val="single" w:sz="6" w:space="31" w:color="BCBCBC"/>
                    <w:bottom w:val="single" w:sz="6" w:space="15" w:color="BCBCBC"/>
                    <w:right w:val="single" w:sz="6" w:space="31" w:color="BCBCBC"/>
                  </w:divBdr>
                  <w:divsChild>
                    <w:div w:id="996344917">
                      <w:marLeft w:val="0"/>
                      <w:marRight w:val="0"/>
                      <w:marTop w:val="0"/>
                      <w:marBottom w:val="0"/>
                      <w:divBdr>
                        <w:top w:val="none" w:sz="0" w:space="0" w:color="auto"/>
                        <w:left w:val="none" w:sz="0" w:space="0" w:color="auto"/>
                        <w:bottom w:val="none" w:sz="0" w:space="0" w:color="auto"/>
                        <w:right w:val="none" w:sz="0" w:space="0" w:color="auto"/>
                      </w:divBdr>
                      <w:divsChild>
                        <w:div w:id="84686530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525</Words>
  <Characters>2994</Characters>
  <Application>Microsoft Office Word</Application>
  <DocSecurity>0</DocSecurity>
  <Lines>24</Lines>
  <Paragraphs>7</Paragraphs>
  <ScaleCrop>false</ScaleCrop>
  <Company>Lenovo</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2019-12-16T00:23:00Z</dcterms:created>
  <dcterms:modified xsi:type="dcterms:W3CDTF">2019-12-16T00:27:00Z</dcterms:modified>
</cp:coreProperties>
</file>